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7FC" w:rsidRPr="00DE3A74" w:rsidRDefault="00E457FC" w:rsidP="00E457FC">
      <w:pPr>
        <w:jc w:val="center"/>
        <w:rPr>
          <w:b/>
          <w:sz w:val="24"/>
          <w:szCs w:val="24"/>
        </w:rPr>
      </w:pPr>
      <w:r w:rsidRPr="0036184C">
        <w:rPr>
          <w:b/>
          <w:sz w:val="24"/>
          <w:szCs w:val="24"/>
        </w:rPr>
        <w:t xml:space="preserve">Μεθοδολογία Υπολογισμού Δείκτη Εκροής </w:t>
      </w:r>
      <w:r w:rsidRPr="0036184C">
        <w:rPr>
          <w:b/>
          <w:sz w:val="24"/>
          <w:szCs w:val="24"/>
          <w:lang w:val="en-US"/>
        </w:rPr>
        <w:t>CO</w:t>
      </w:r>
      <w:r w:rsidRPr="0036184C">
        <w:rPr>
          <w:b/>
          <w:sz w:val="24"/>
          <w:szCs w:val="24"/>
        </w:rPr>
        <w:t>3</w:t>
      </w:r>
      <w:r w:rsidRPr="00DE3A74">
        <w:rPr>
          <w:b/>
          <w:sz w:val="24"/>
          <w:szCs w:val="24"/>
        </w:rPr>
        <w:t>4</w:t>
      </w:r>
      <w:r w:rsidR="00493C80">
        <w:rPr>
          <w:b/>
          <w:sz w:val="24"/>
          <w:szCs w:val="24"/>
        </w:rPr>
        <w:t xml:space="preserve"> για δράσεις ΣΗΘΥΑ</w:t>
      </w:r>
    </w:p>
    <w:p w:rsidR="00493C80" w:rsidRDefault="00493C80" w:rsidP="00E457FC">
      <w:pPr>
        <w:rPr>
          <w:b/>
          <w:sz w:val="24"/>
          <w:szCs w:val="24"/>
        </w:rPr>
      </w:pPr>
    </w:p>
    <w:p w:rsidR="00E457FC" w:rsidRDefault="00E457FC" w:rsidP="00E457FC">
      <w:pPr>
        <w:rPr>
          <w:rFonts w:cs="Calibri"/>
        </w:rPr>
      </w:pPr>
      <w:r>
        <w:t>Η μέση τιμή της παραγωγής ηλεκτρικής και θερμικής ενέργειας σε ετήσια βάση ισούται με 5.163</w:t>
      </w:r>
      <w:r w:rsidRPr="006345D7">
        <w:t xml:space="preserve"> </w:t>
      </w:r>
      <w:r>
        <w:rPr>
          <w:lang w:val="en-US"/>
        </w:rPr>
        <w:t>MWh</w:t>
      </w:r>
      <w:r w:rsidRPr="006345D7">
        <w:t xml:space="preserve"> </w:t>
      </w:r>
      <w:r>
        <w:t xml:space="preserve">ανά </w:t>
      </w:r>
      <w:proofErr w:type="spellStart"/>
      <w:r>
        <w:rPr>
          <w:lang w:val="en-US"/>
        </w:rPr>
        <w:t>MWe</w:t>
      </w:r>
      <w:proofErr w:type="spellEnd"/>
      <w:r w:rsidRPr="00734422">
        <w:t xml:space="preserve"> </w:t>
      </w:r>
      <w:r>
        <w:t xml:space="preserve">και 5.363 </w:t>
      </w:r>
      <w:r>
        <w:rPr>
          <w:lang w:val="en-US"/>
        </w:rPr>
        <w:t>MWh</w:t>
      </w:r>
      <w:r w:rsidRPr="006345D7">
        <w:t xml:space="preserve"> </w:t>
      </w:r>
      <w:r>
        <w:t xml:space="preserve">ανά </w:t>
      </w:r>
      <w:proofErr w:type="spellStart"/>
      <w:r>
        <w:rPr>
          <w:lang w:val="en-US"/>
        </w:rPr>
        <w:t>MWe</w:t>
      </w:r>
      <w:proofErr w:type="spellEnd"/>
      <w:r w:rsidRPr="00734422">
        <w:t xml:space="preserve"> </w:t>
      </w:r>
      <w:r>
        <w:t xml:space="preserve">αντίστοιχα για την περίπτωση μονάδων ΣΗΘΥΑ ισχύος ηλεκτρικής ενέργειας έως 5 </w:t>
      </w:r>
      <w:proofErr w:type="spellStart"/>
      <w:r>
        <w:rPr>
          <w:lang w:val="en-US"/>
        </w:rPr>
        <w:t>MWe</w:t>
      </w:r>
      <w:proofErr w:type="spellEnd"/>
      <w:r w:rsidRPr="00A4683D">
        <w:t xml:space="preserve"> </w:t>
      </w:r>
      <w:r>
        <w:t xml:space="preserve">και για τις δυο εναλλακτικές </w:t>
      </w:r>
      <w:proofErr w:type="spellStart"/>
      <w:r>
        <w:t>διαστασιολόγησης</w:t>
      </w:r>
      <w:proofErr w:type="spellEnd"/>
      <w:r>
        <w:rPr>
          <w:rFonts w:cs="Calibri"/>
        </w:rPr>
        <w:t>.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956"/>
        <w:gridCol w:w="1417"/>
        <w:gridCol w:w="1441"/>
        <w:gridCol w:w="1170"/>
        <w:gridCol w:w="933"/>
        <w:gridCol w:w="1360"/>
        <w:gridCol w:w="1441"/>
      </w:tblGrid>
      <w:tr w:rsidR="00E457FC" w:rsidRPr="006217FB" w:rsidTr="004961C3">
        <w:trPr>
          <w:trHeight w:val="1093"/>
        </w:trPr>
        <w:tc>
          <w:tcPr>
            <w:tcW w:w="1171" w:type="dxa"/>
            <w:shd w:val="clear" w:color="auto" w:fill="D9D9D9" w:themeFill="background1" w:themeFillShade="D9"/>
            <w:noWrap/>
            <w:vAlign w:val="center"/>
            <w:hideMark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Εναλλακτική </w:t>
            </w: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Α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Ον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Ισχυς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457FC" w:rsidRPr="003C2412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Ηλεκτρική Παραγωγή (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MWhel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E457FC" w:rsidRPr="00724F11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Ετήσια Παραγωγή Ηλεκτρικής </w:t>
            </w:r>
          </w:p>
          <w:p w:rsidR="00E457FC" w:rsidRPr="00724F11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Ενέργειας/Ισχύς</w:t>
            </w:r>
          </w:p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(Μ</w:t>
            </w:r>
            <w:proofErr w:type="spellStart"/>
            <w:r w:rsidRPr="003C241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Wh</w:t>
            </w:r>
            <w:proofErr w:type="spellEnd"/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3C241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val="en-US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Εναλλακτική Β</w:t>
            </w:r>
          </w:p>
        </w:tc>
        <w:tc>
          <w:tcPr>
            <w:tcW w:w="933" w:type="dxa"/>
            <w:shd w:val="clear" w:color="auto" w:fill="D9D9D9" w:themeFill="background1" w:themeFillShade="D9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Ον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Ισχυς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Ηλεκτρική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 Παρα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γωγή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MWhel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E457FC" w:rsidRPr="00724F11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Ετήσια Παραγωγή Ηλεκτρικής </w:t>
            </w:r>
          </w:p>
          <w:p w:rsidR="00E457FC" w:rsidRPr="00724F11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Ενέργειας/Ισχύς</w:t>
            </w:r>
          </w:p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(Μ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Wh</w:t>
            </w:r>
            <w:proofErr w:type="spellEnd"/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  <w:r w:rsidRPr="00724F1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E457FC" w:rsidRPr="006217FB" w:rsidTr="004961C3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Τεχν.1</w:t>
            </w:r>
          </w:p>
        </w:tc>
        <w:tc>
          <w:tcPr>
            <w:tcW w:w="956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5.000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5.000</w:t>
            </w:r>
          </w:p>
        </w:tc>
        <w:tc>
          <w:tcPr>
            <w:tcW w:w="1170" w:type="dxa"/>
            <w:vAlign w:val="center"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Τεχν.1</w:t>
            </w:r>
          </w:p>
        </w:tc>
        <w:tc>
          <w:tcPr>
            <w:tcW w:w="933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4.231</w:t>
            </w:r>
          </w:p>
        </w:tc>
        <w:tc>
          <w:tcPr>
            <w:tcW w:w="1441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4.231</w:t>
            </w:r>
          </w:p>
        </w:tc>
      </w:tr>
      <w:tr w:rsidR="00E457FC" w:rsidRPr="006217FB" w:rsidTr="004961C3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Τεχν.2</w:t>
            </w:r>
          </w:p>
        </w:tc>
        <w:tc>
          <w:tcPr>
            <w:tcW w:w="956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361DA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5.000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5.000</w:t>
            </w:r>
          </w:p>
        </w:tc>
        <w:tc>
          <w:tcPr>
            <w:tcW w:w="1170" w:type="dxa"/>
            <w:vAlign w:val="center"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Τεχν.2</w:t>
            </w:r>
          </w:p>
        </w:tc>
        <w:tc>
          <w:tcPr>
            <w:tcW w:w="933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0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4.853</w:t>
            </w:r>
          </w:p>
        </w:tc>
        <w:tc>
          <w:tcPr>
            <w:tcW w:w="1441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4.853</w:t>
            </w:r>
          </w:p>
        </w:tc>
      </w:tr>
      <w:tr w:rsidR="00E457FC" w:rsidRPr="006217FB" w:rsidTr="004961C3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Τεχν.1</w:t>
            </w:r>
          </w:p>
        </w:tc>
        <w:tc>
          <w:tcPr>
            <w:tcW w:w="956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361DA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27.500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5.500</w:t>
            </w:r>
          </w:p>
        </w:tc>
        <w:tc>
          <w:tcPr>
            <w:tcW w:w="1170" w:type="dxa"/>
            <w:vAlign w:val="center"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Τεχν.1</w:t>
            </w:r>
          </w:p>
        </w:tc>
        <w:tc>
          <w:tcPr>
            <w:tcW w:w="933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0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26.014</w:t>
            </w:r>
          </w:p>
        </w:tc>
        <w:tc>
          <w:tcPr>
            <w:tcW w:w="1441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5.203</w:t>
            </w:r>
          </w:p>
        </w:tc>
      </w:tr>
      <w:tr w:rsidR="00E457FC" w:rsidRPr="006217FB" w:rsidTr="004961C3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Τεχν.2</w:t>
            </w:r>
          </w:p>
        </w:tc>
        <w:tc>
          <w:tcPr>
            <w:tcW w:w="956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361DA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27.500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5.500</w:t>
            </w:r>
          </w:p>
        </w:tc>
        <w:tc>
          <w:tcPr>
            <w:tcW w:w="1170" w:type="dxa"/>
            <w:vAlign w:val="center"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Τεχν.2</w:t>
            </w:r>
          </w:p>
        </w:tc>
        <w:tc>
          <w:tcPr>
            <w:tcW w:w="933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0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30.078</w:t>
            </w:r>
          </w:p>
        </w:tc>
        <w:tc>
          <w:tcPr>
            <w:tcW w:w="1441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6.016</w:t>
            </w:r>
          </w:p>
        </w:tc>
      </w:tr>
      <w:tr w:rsidR="00E457FC" w:rsidRPr="006217FB" w:rsidTr="004961C3">
        <w:trPr>
          <w:trHeight w:val="303"/>
        </w:trPr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</w:rPr>
              <w:t>ΜΕΣΟΣ ΟΡΟΣ ΕΝΑΛΛΑΚΤΙΚΗΣ Α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>5.250</w:t>
            </w:r>
          </w:p>
        </w:tc>
        <w:tc>
          <w:tcPr>
            <w:tcW w:w="3463" w:type="dxa"/>
            <w:gridSpan w:val="3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hAnsi="Calibri"/>
                <w:b/>
                <w:i/>
                <w:color w:val="000000"/>
              </w:rPr>
            </w:pPr>
            <w:r w:rsidRPr="006217FB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</w:rPr>
              <w:t>ΜΕΣΟΣ ΟΡΟΣ ΕΝΑΛΛΑΚΤΙΚΗΣ Β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>5.076</w:t>
            </w:r>
          </w:p>
        </w:tc>
      </w:tr>
      <w:tr w:rsidR="00E457FC" w:rsidRPr="006217FB" w:rsidTr="004961C3">
        <w:trPr>
          <w:trHeight w:val="303"/>
        </w:trPr>
        <w:tc>
          <w:tcPr>
            <w:tcW w:w="9889" w:type="dxa"/>
            <w:gridSpan w:val="8"/>
            <w:shd w:val="clear" w:color="auto" w:fill="auto"/>
            <w:noWrap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</w:rPr>
              <w:t xml:space="preserve">ΜΕΣΟΣ ΟΡΟΣ : </w:t>
            </w:r>
            <w:r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 xml:space="preserve">5.163 </w:t>
            </w:r>
            <w:r w:rsidRPr="00F17E9A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>MWh/</w:t>
            </w:r>
            <w:proofErr w:type="spellStart"/>
            <w:r w:rsidRPr="00F17E9A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</w:p>
        </w:tc>
      </w:tr>
    </w:tbl>
    <w:p w:rsidR="00E457FC" w:rsidRDefault="00E457FC" w:rsidP="00E457FC">
      <w:pPr>
        <w:rPr>
          <w:rFonts w:cs="Calibri"/>
          <w:lang w:val="en-US"/>
        </w:rPr>
      </w:pP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956"/>
        <w:gridCol w:w="1417"/>
        <w:gridCol w:w="1441"/>
        <w:gridCol w:w="1170"/>
        <w:gridCol w:w="933"/>
        <w:gridCol w:w="1360"/>
        <w:gridCol w:w="1441"/>
      </w:tblGrid>
      <w:tr w:rsidR="00E457FC" w:rsidRPr="006217FB" w:rsidTr="004961C3">
        <w:trPr>
          <w:trHeight w:val="1093"/>
        </w:trPr>
        <w:tc>
          <w:tcPr>
            <w:tcW w:w="1171" w:type="dxa"/>
            <w:shd w:val="clear" w:color="auto" w:fill="D9D9D9" w:themeFill="background1" w:themeFillShade="D9"/>
            <w:noWrap/>
            <w:vAlign w:val="center"/>
            <w:hideMark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Εναλλακτική </w:t>
            </w: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Α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Ον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Ισχυς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457FC" w:rsidRPr="003C2412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</w:pPr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Θερμική Παραγωγή (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MWhth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Ετήσια Παραγωγή Θερμικής </w:t>
            </w:r>
          </w:p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Ενέργειας/Ισχύς</w:t>
            </w:r>
          </w:p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ΜWh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MWe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val="en-US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Εναλλακτική Β</w:t>
            </w:r>
          </w:p>
        </w:tc>
        <w:tc>
          <w:tcPr>
            <w:tcW w:w="933" w:type="dxa"/>
            <w:shd w:val="clear" w:color="auto" w:fill="D9D9D9" w:themeFill="background1" w:themeFillShade="D9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Ον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Ισχυς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Θερμική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 Παρα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γωγή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MWhth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Ετήσια Παραγωγή Ηλεκτρικής </w:t>
            </w:r>
          </w:p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Ενέργειας/Ισχύς</w:t>
            </w:r>
          </w:p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(Μ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Wh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  <w:r w:rsidRPr="00F17E9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E457FC" w:rsidRPr="006217FB" w:rsidTr="004961C3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Τεχν.1</w:t>
            </w:r>
          </w:p>
        </w:tc>
        <w:tc>
          <w:tcPr>
            <w:tcW w:w="956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5.909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6217FB">
              <w:rPr>
                <w:rFonts w:ascii="Calibri" w:hAnsi="Calibri"/>
                <w:color w:val="000000"/>
                <w:sz w:val="18"/>
                <w:szCs w:val="18"/>
              </w:rPr>
              <w:t>5.909</w:t>
            </w:r>
          </w:p>
        </w:tc>
        <w:tc>
          <w:tcPr>
            <w:tcW w:w="1170" w:type="dxa"/>
            <w:vAlign w:val="center"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Τεχν.1</w:t>
            </w:r>
          </w:p>
        </w:tc>
        <w:tc>
          <w:tcPr>
            <w:tcW w:w="933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5.000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5.000</w:t>
            </w:r>
          </w:p>
        </w:tc>
      </w:tr>
      <w:tr w:rsidR="00E457FC" w:rsidRPr="006217FB" w:rsidTr="004961C3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Τεχν.2</w:t>
            </w:r>
          </w:p>
        </w:tc>
        <w:tc>
          <w:tcPr>
            <w:tcW w:w="956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361DA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5.152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6217FB">
              <w:rPr>
                <w:rFonts w:ascii="Calibri" w:hAnsi="Calibri"/>
                <w:color w:val="000000"/>
                <w:sz w:val="18"/>
                <w:szCs w:val="18"/>
              </w:rPr>
              <w:t>5.152</w:t>
            </w:r>
          </w:p>
        </w:tc>
        <w:tc>
          <w:tcPr>
            <w:tcW w:w="1170" w:type="dxa"/>
            <w:vAlign w:val="center"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Τεχν.2</w:t>
            </w:r>
          </w:p>
        </w:tc>
        <w:tc>
          <w:tcPr>
            <w:tcW w:w="933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60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5.000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5.000</w:t>
            </w:r>
          </w:p>
        </w:tc>
      </w:tr>
      <w:tr w:rsidR="00E457FC" w:rsidRPr="006217FB" w:rsidTr="004961C3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Τεχν.1</w:t>
            </w:r>
          </w:p>
        </w:tc>
        <w:tc>
          <w:tcPr>
            <w:tcW w:w="956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361DA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29.071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5.814</w:t>
            </w:r>
          </w:p>
        </w:tc>
        <w:tc>
          <w:tcPr>
            <w:tcW w:w="1170" w:type="dxa"/>
            <w:vAlign w:val="center"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Τεχν.1</w:t>
            </w:r>
          </w:p>
        </w:tc>
        <w:tc>
          <w:tcPr>
            <w:tcW w:w="933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0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27.500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5.500</w:t>
            </w:r>
          </w:p>
        </w:tc>
      </w:tr>
      <w:tr w:rsidR="00E457FC" w:rsidRPr="006217FB" w:rsidTr="004961C3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Τεχν.2</w:t>
            </w:r>
          </w:p>
        </w:tc>
        <w:tc>
          <w:tcPr>
            <w:tcW w:w="956" w:type="dxa"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361DA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25.143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5.029</w:t>
            </w:r>
          </w:p>
        </w:tc>
        <w:tc>
          <w:tcPr>
            <w:tcW w:w="1170" w:type="dxa"/>
            <w:vAlign w:val="center"/>
          </w:tcPr>
          <w:p w:rsidR="00E457FC" w:rsidRPr="00361DA4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Τεχν.2</w:t>
            </w:r>
          </w:p>
        </w:tc>
        <w:tc>
          <w:tcPr>
            <w:tcW w:w="933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60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27.500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17E9A">
              <w:rPr>
                <w:rFonts w:ascii="Calibri" w:hAnsi="Calibri"/>
                <w:color w:val="000000"/>
                <w:sz w:val="18"/>
                <w:szCs w:val="18"/>
              </w:rPr>
              <w:t>5.500</w:t>
            </w:r>
          </w:p>
        </w:tc>
      </w:tr>
      <w:tr w:rsidR="00E457FC" w:rsidRPr="006217FB" w:rsidTr="004961C3">
        <w:trPr>
          <w:trHeight w:val="303"/>
        </w:trPr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:rsidR="00E457FC" w:rsidRPr="006217FB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</w:rPr>
            </w:pPr>
            <w:r w:rsidRPr="006217FB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</w:rPr>
              <w:t>ΜΕΣΟΣ ΟΡΟΣ ΕΝΑΛΛΑΚΤΙΚΗΣ Α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>5.476</w:t>
            </w:r>
          </w:p>
        </w:tc>
        <w:tc>
          <w:tcPr>
            <w:tcW w:w="3463" w:type="dxa"/>
            <w:gridSpan w:val="3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  <w:r w:rsidRPr="00F17E9A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</w:rPr>
              <w:t>ΜΕΣΟΣ ΟΡΟΣ ΕΝΑΛΛΑΚΤΙΚΗΣ Β</w:t>
            </w:r>
          </w:p>
        </w:tc>
        <w:tc>
          <w:tcPr>
            <w:tcW w:w="1441" w:type="dxa"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</w:pPr>
            <w:r w:rsidRPr="00F17E9A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>5.250</w:t>
            </w:r>
          </w:p>
        </w:tc>
      </w:tr>
      <w:tr w:rsidR="00E457FC" w:rsidRPr="006217FB" w:rsidTr="004961C3">
        <w:trPr>
          <w:trHeight w:val="303"/>
        </w:trPr>
        <w:tc>
          <w:tcPr>
            <w:tcW w:w="9889" w:type="dxa"/>
            <w:gridSpan w:val="8"/>
            <w:shd w:val="clear" w:color="auto" w:fill="auto"/>
            <w:noWrap/>
            <w:vAlign w:val="center"/>
          </w:tcPr>
          <w:p w:rsidR="00E457FC" w:rsidRPr="00F17E9A" w:rsidRDefault="00E457FC" w:rsidP="004961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</w:rPr>
              <w:t xml:space="preserve">ΜΕΣΟΣ ΟΡΟΣ : </w:t>
            </w:r>
            <w:r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 xml:space="preserve">5.363 </w:t>
            </w:r>
            <w:r w:rsidRPr="00F17E9A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>MWh/</w:t>
            </w:r>
            <w:proofErr w:type="spellStart"/>
            <w:r w:rsidRPr="00F17E9A">
              <w:rPr>
                <w:rFonts w:ascii="Calibri" w:eastAsia="Times New Roman" w:hAnsi="Calibri" w:cs="Calibri"/>
                <w:b/>
                <w:i/>
                <w:color w:val="000000"/>
                <w:sz w:val="18"/>
                <w:szCs w:val="18"/>
                <w:lang w:val="en-US"/>
              </w:rPr>
              <w:t>MWe</w:t>
            </w:r>
            <w:proofErr w:type="spellEnd"/>
          </w:p>
        </w:tc>
      </w:tr>
    </w:tbl>
    <w:p w:rsidR="00E457FC" w:rsidRPr="00724F11" w:rsidRDefault="00E457FC" w:rsidP="00E457FC">
      <w:pPr>
        <w:rPr>
          <w:rFonts w:cs="Calibri"/>
          <w:lang w:val="en-US"/>
        </w:rPr>
      </w:pPr>
    </w:p>
    <w:p w:rsidR="00E457FC" w:rsidRDefault="00E457FC" w:rsidP="00E457FC">
      <w:r>
        <w:rPr>
          <w:rFonts w:cs="Calibri"/>
        </w:rPr>
        <w:t xml:space="preserve">Η συνολική παραγωγή ηλεκτρικής ενέργειας </w:t>
      </w:r>
      <w:r>
        <w:t>για διατιθέμενο Π/Υ ίσο με 10.000.000 €</w:t>
      </w:r>
      <w:r w:rsidRPr="0058489C">
        <w:t xml:space="preserve"> </w:t>
      </w:r>
      <w:r>
        <w:rPr>
          <w:rFonts w:cs="Calibri"/>
        </w:rPr>
        <w:t>ανέρχεται σε:</w:t>
      </w:r>
    </w:p>
    <w:p w:rsidR="00E457FC" w:rsidRPr="00493C80" w:rsidRDefault="00E457FC" w:rsidP="00E457FC">
      <w:pPr>
        <w:jc w:val="center"/>
        <w:rPr>
          <w:rFonts w:cs="Calibri"/>
          <w:b/>
        </w:rPr>
      </w:pPr>
      <w:bookmarkStart w:id="0" w:name="_GoBack"/>
      <w:bookmarkEnd w:id="0"/>
      <w:r w:rsidRPr="00493C80">
        <w:rPr>
          <w:b/>
        </w:rPr>
        <w:t xml:space="preserve">5.163 </w:t>
      </w:r>
      <w:r w:rsidRPr="00493C80">
        <w:rPr>
          <w:b/>
          <w:lang w:val="en-US"/>
        </w:rPr>
        <w:t>MWh</w:t>
      </w:r>
      <w:r w:rsidRPr="00493C80">
        <w:rPr>
          <w:b/>
        </w:rPr>
        <w:t>/</w:t>
      </w:r>
      <w:proofErr w:type="spellStart"/>
      <w:r w:rsidRPr="00493C80">
        <w:rPr>
          <w:b/>
          <w:lang w:val="en-US"/>
        </w:rPr>
        <w:t>MWe</w:t>
      </w:r>
      <w:proofErr w:type="spellEnd"/>
      <w:r w:rsidRPr="00493C80">
        <w:rPr>
          <w:b/>
        </w:rPr>
        <w:t xml:space="preserve"> x 8 </w:t>
      </w:r>
      <w:proofErr w:type="spellStart"/>
      <w:r w:rsidRPr="00493C80">
        <w:rPr>
          <w:b/>
          <w:lang w:val="en-US"/>
        </w:rPr>
        <w:t>MWe</w:t>
      </w:r>
      <w:proofErr w:type="spellEnd"/>
      <w:r w:rsidRPr="00493C80">
        <w:rPr>
          <w:b/>
        </w:rPr>
        <w:t xml:space="preserve"> = 41.302 </w:t>
      </w:r>
      <w:proofErr w:type="spellStart"/>
      <w:r w:rsidRPr="00493C80">
        <w:rPr>
          <w:rFonts w:cs="Calibri"/>
          <w:b/>
        </w:rPr>
        <w:t>ΜWh</w:t>
      </w:r>
      <w:proofErr w:type="spellEnd"/>
      <w:r w:rsidRPr="00493C80">
        <w:rPr>
          <w:rFonts w:cs="Calibri"/>
          <w:b/>
        </w:rPr>
        <w:t>/έτος</w:t>
      </w:r>
    </w:p>
    <w:p w:rsidR="00E457FC" w:rsidRDefault="00E457FC" w:rsidP="00E457FC">
      <w:r>
        <w:t xml:space="preserve">και η συνολική παραγωγή θερμικής ενέργειας σε </w:t>
      </w:r>
    </w:p>
    <w:p w:rsidR="00E457FC" w:rsidRPr="00493C80" w:rsidRDefault="00E457FC" w:rsidP="00E457FC">
      <w:pPr>
        <w:jc w:val="center"/>
        <w:rPr>
          <w:rFonts w:cs="Calibri"/>
          <w:b/>
        </w:rPr>
      </w:pPr>
      <w:r w:rsidRPr="00493C80">
        <w:rPr>
          <w:b/>
        </w:rPr>
        <w:t xml:space="preserve">5.363 </w:t>
      </w:r>
      <w:r w:rsidRPr="00493C80">
        <w:rPr>
          <w:b/>
          <w:lang w:val="en-US"/>
        </w:rPr>
        <w:t>MWh</w:t>
      </w:r>
      <w:r w:rsidRPr="00493C80">
        <w:rPr>
          <w:b/>
        </w:rPr>
        <w:t>/</w:t>
      </w:r>
      <w:proofErr w:type="spellStart"/>
      <w:r w:rsidRPr="00493C80">
        <w:rPr>
          <w:b/>
          <w:lang w:val="en-US"/>
        </w:rPr>
        <w:t>MWe</w:t>
      </w:r>
      <w:proofErr w:type="spellEnd"/>
      <w:r w:rsidRPr="00493C80">
        <w:rPr>
          <w:b/>
        </w:rPr>
        <w:t xml:space="preserve"> x 8 </w:t>
      </w:r>
      <w:proofErr w:type="spellStart"/>
      <w:r w:rsidRPr="00493C80">
        <w:rPr>
          <w:b/>
          <w:lang w:val="en-US"/>
        </w:rPr>
        <w:t>MWe</w:t>
      </w:r>
      <w:proofErr w:type="spellEnd"/>
      <w:r w:rsidRPr="00493C80">
        <w:rPr>
          <w:b/>
        </w:rPr>
        <w:t xml:space="preserve"> = 42.903 </w:t>
      </w:r>
      <w:proofErr w:type="spellStart"/>
      <w:r w:rsidRPr="00493C80">
        <w:rPr>
          <w:rFonts w:cs="Calibri"/>
          <w:b/>
        </w:rPr>
        <w:t>ΜWh</w:t>
      </w:r>
      <w:proofErr w:type="spellEnd"/>
      <w:r w:rsidRPr="00493C80">
        <w:rPr>
          <w:rFonts w:cs="Calibri"/>
          <w:b/>
        </w:rPr>
        <w:t>/έτος</w:t>
      </w:r>
    </w:p>
    <w:p w:rsidR="00E457FC" w:rsidRPr="0036161A" w:rsidRDefault="00E457FC" w:rsidP="00E457FC">
      <w:r>
        <w:t xml:space="preserve">Για τον υπολογισμό του δείκτη εκροής </w:t>
      </w:r>
      <w:r>
        <w:rPr>
          <w:lang w:val="en-US"/>
        </w:rPr>
        <w:t>CO</w:t>
      </w:r>
      <w:r w:rsidRPr="00C341ED">
        <w:t>3</w:t>
      </w:r>
      <w:r>
        <w:t xml:space="preserve">4, χρησιμοποιήθηκαν οι συντελεστές εκπομπής </w:t>
      </w:r>
      <w:r>
        <w:rPr>
          <w:lang w:val="en-US"/>
        </w:rPr>
        <w:t>CO</w:t>
      </w:r>
      <w:r w:rsidRPr="0086668A">
        <w:rPr>
          <w:vertAlign w:val="subscript"/>
        </w:rPr>
        <w:t>2</w:t>
      </w:r>
      <w:r>
        <w:t xml:space="preserve"> για την περίπτωση της ηλεκτρικής ενέργειας</w:t>
      </w:r>
      <w:r w:rsidRPr="00817AB2">
        <w:t xml:space="preserve"> </w:t>
      </w:r>
      <w:r>
        <w:t>από ορυκτά καύσιμα</w:t>
      </w:r>
      <w:r>
        <w:rPr>
          <w:rStyle w:val="a8"/>
        </w:rPr>
        <w:footnoteReference w:id="1"/>
      </w:r>
      <w:r>
        <w:t>, του πετρελαίου θέρμανσης</w:t>
      </w:r>
      <w:r>
        <w:rPr>
          <w:rStyle w:val="a8"/>
          <w:rFonts w:cs="Calibri"/>
        </w:rPr>
        <w:footnoteReference w:id="2"/>
      </w:r>
      <w:r>
        <w:t xml:space="preserve"> και του φυσικού αερίου</w:t>
      </w:r>
      <w:r>
        <w:rPr>
          <w:rStyle w:val="a8"/>
          <w:rFonts w:cs="Calibri"/>
        </w:rPr>
        <w:footnoteReference w:id="3"/>
      </w:r>
      <w:r>
        <w:rPr>
          <w:rFonts w:cs="Calibri"/>
        </w:rPr>
        <w:t>,</w:t>
      </w:r>
      <w:r w:rsidRPr="0086668A">
        <w:t xml:space="preserve"> </w:t>
      </w:r>
      <w:r>
        <w:t xml:space="preserve">οι οποίοι ανέρχονται σε 0,436 </w:t>
      </w:r>
      <w:proofErr w:type="spellStart"/>
      <w:r>
        <w:rPr>
          <w:lang w:val="en-US"/>
        </w:rPr>
        <w:t>tn</w:t>
      </w:r>
      <w:proofErr w:type="spellEnd"/>
      <w:r w:rsidRPr="0086668A">
        <w:t xml:space="preserve"> </w:t>
      </w:r>
      <w:r>
        <w:rPr>
          <w:lang w:val="en-US"/>
        </w:rPr>
        <w:t>CO</w:t>
      </w:r>
      <w:r w:rsidRPr="0086668A">
        <w:rPr>
          <w:vertAlign w:val="subscript"/>
        </w:rPr>
        <w:t>2</w:t>
      </w:r>
      <w:r w:rsidRPr="0086668A">
        <w:t>/</w:t>
      </w:r>
      <w:r>
        <w:rPr>
          <w:lang w:val="en-US"/>
        </w:rPr>
        <w:t>MWh</w:t>
      </w:r>
      <w:r>
        <w:t>,</w:t>
      </w:r>
      <w:r w:rsidRPr="0086668A">
        <w:t xml:space="preserve"> </w:t>
      </w:r>
      <w:r>
        <w:t xml:space="preserve">0,264 </w:t>
      </w:r>
      <w:proofErr w:type="spellStart"/>
      <w:r>
        <w:rPr>
          <w:lang w:val="en-US"/>
        </w:rPr>
        <w:t>tn</w:t>
      </w:r>
      <w:proofErr w:type="spellEnd"/>
      <w:r w:rsidRPr="0086668A">
        <w:t xml:space="preserve"> </w:t>
      </w:r>
      <w:r>
        <w:rPr>
          <w:lang w:val="en-US"/>
        </w:rPr>
        <w:t>CO</w:t>
      </w:r>
      <w:r w:rsidRPr="0086668A">
        <w:rPr>
          <w:vertAlign w:val="subscript"/>
        </w:rPr>
        <w:t>2</w:t>
      </w:r>
      <w:r w:rsidRPr="0086668A">
        <w:t>/</w:t>
      </w:r>
      <w:r>
        <w:rPr>
          <w:lang w:val="en-US"/>
        </w:rPr>
        <w:t>MWh</w:t>
      </w:r>
      <w:r w:rsidRPr="0086668A">
        <w:t xml:space="preserve"> </w:t>
      </w:r>
      <w:r>
        <w:t xml:space="preserve">και 0,196 </w:t>
      </w:r>
      <w:proofErr w:type="spellStart"/>
      <w:r>
        <w:rPr>
          <w:lang w:val="en-US"/>
        </w:rPr>
        <w:t>tn</w:t>
      </w:r>
      <w:proofErr w:type="spellEnd"/>
      <w:r w:rsidRPr="0086668A">
        <w:t xml:space="preserve"> </w:t>
      </w:r>
      <w:r>
        <w:rPr>
          <w:lang w:val="en-US"/>
        </w:rPr>
        <w:t>CO</w:t>
      </w:r>
      <w:r w:rsidRPr="0086668A">
        <w:rPr>
          <w:vertAlign w:val="subscript"/>
        </w:rPr>
        <w:t>2</w:t>
      </w:r>
      <w:r w:rsidRPr="0086668A">
        <w:t>/</w:t>
      </w:r>
      <w:r>
        <w:rPr>
          <w:lang w:val="en-US"/>
        </w:rPr>
        <w:t>MWh</w:t>
      </w:r>
      <w:r w:rsidRPr="0086668A">
        <w:t xml:space="preserve"> </w:t>
      </w:r>
      <w:r>
        <w:t>αντίστοιχα.</w:t>
      </w:r>
    </w:p>
    <w:p w:rsidR="00E457FC" w:rsidRDefault="00E457FC" w:rsidP="00E457FC">
      <w:r>
        <w:t>Ο υπολογισμός της μείωσης των εκπομπών αερίων του θερμοκηπίου για κάθε μια τεχνολογία ξεχωριστά πραγματοποιήθηκε βάσει της ακόλουθης εξίσωσης:</w:t>
      </w:r>
    </w:p>
    <w:p w:rsidR="00E457FC" w:rsidRPr="00871022" w:rsidRDefault="00E457FC" w:rsidP="00E457FC">
      <w:pPr>
        <w:rPr>
          <w:i/>
        </w:rPr>
      </w:pPr>
      <m:oMathPara>
        <m:oMath>
          <m:r>
            <w:rPr>
              <w:rFonts w:ascii="Cambria Math" w:hAnsi="Cambria Math"/>
            </w:rPr>
            <w:lastRenderedPageBreak/>
            <m:t>ΜΕ=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Ηλεκτρική_παραγωγή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ner</m:t>
                  </m:r>
                </m:den>
              </m:f>
            </m:e>
          </m:d>
          <m:r>
            <w:rPr>
              <w:rFonts w:ascii="Cambria Math" w:hAnsi="Cambria Math"/>
            </w:rPr>
            <m:t>∙0,436+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Θερμική_παραγωγή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nhr</m:t>
                  </m:r>
                </m:den>
              </m:f>
            </m:e>
          </m:d>
          <m:r>
            <w:rPr>
              <w:rFonts w:ascii="Cambria Math" w:hAnsi="Cambria Math"/>
            </w:rPr>
            <m:t>∙0,264-Κατανάλωση_Φ.Α. ∙0,196</m:t>
          </m:r>
        </m:oMath>
      </m:oMathPara>
    </w:p>
    <w:p w:rsidR="00E457FC" w:rsidRDefault="00E457FC" w:rsidP="00E457FC"/>
    <w:p w:rsidR="00E457FC" w:rsidRPr="00F71F27" w:rsidRDefault="00E457FC" w:rsidP="00E457FC">
      <w:r>
        <w:t xml:space="preserve">Δεδομένου ότι η μέση τιμή της μείωσης των εκπομπών αερίων του θερμοκηπίου σε ετήσια βάση ανέρχεται σε </w:t>
      </w:r>
      <w:r w:rsidRPr="005252E7">
        <w:t>4</w:t>
      </w:r>
      <w:r>
        <w:t>.</w:t>
      </w:r>
      <w:r w:rsidRPr="005252E7">
        <w:t>166</w:t>
      </w:r>
      <w:r w:rsidRPr="006345D7">
        <w:t xml:space="preserve"> </w:t>
      </w:r>
      <w:proofErr w:type="spellStart"/>
      <w:r>
        <w:rPr>
          <w:lang w:val="en-US"/>
        </w:rPr>
        <w:t>tn</w:t>
      </w:r>
      <w:proofErr w:type="spellEnd"/>
      <w:r w:rsidRPr="00871022">
        <w:t xml:space="preserve"> </w:t>
      </w:r>
      <w:r>
        <w:rPr>
          <w:lang w:val="en-US"/>
        </w:rPr>
        <w:t>CO</w:t>
      </w:r>
      <w:r w:rsidRPr="00871022">
        <w:rPr>
          <w:vertAlign w:val="subscript"/>
        </w:rPr>
        <w:t>2</w:t>
      </w:r>
      <w:r w:rsidRPr="006345D7">
        <w:t xml:space="preserve"> </w:t>
      </w:r>
      <w:r>
        <w:t xml:space="preserve">ανά </w:t>
      </w:r>
      <w:proofErr w:type="spellStart"/>
      <w:r>
        <w:rPr>
          <w:lang w:val="en-US"/>
        </w:rPr>
        <w:t>MWe</w:t>
      </w:r>
      <w:proofErr w:type="spellEnd"/>
      <w:r w:rsidRPr="00734422">
        <w:t xml:space="preserve"> </w:t>
      </w:r>
      <w:r>
        <w:t xml:space="preserve">για την περίπτωση μονάδων ΣΗΘΥΑ ισχύος ηλεκτρικής ενέργειας έως 5 </w:t>
      </w:r>
      <w:proofErr w:type="spellStart"/>
      <w:r>
        <w:rPr>
          <w:lang w:val="en-US"/>
        </w:rPr>
        <w:t>MWe</w:t>
      </w:r>
      <w:proofErr w:type="spellEnd"/>
      <w:r w:rsidRPr="00A4683D">
        <w:t xml:space="preserve"> </w:t>
      </w:r>
      <w:r>
        <w:t xml:space="preserve">και για τις δυο εναλλακτικές </w:t>
      </w:r>
      <w:proofErr w:type="spellStart"/>
      <w:r>
        <w:t>διαστασιολόγησης</w:t>
      </w:r>
      <w:proofErr w:type="spellEnd"/>
      <w:r>
        <w:rPr>
          <w:rFonts w:cs="Calibri"/>
        </w:rPr>
        <w:t xml:space="preserve">, η τιμή του </w:t>
      </w:r>
      <w:r>
        <w:t xml:space="preserve">δείκτη εκροής </w:t>
      </w:r>
      <w:r>
        <w:rPr>
          <w:lang w:val="en-US"/>
        </w:rPr>
        <w:t>CO</w:t>
      </w:r>
      <w:r w:rsidRPr="00C341ED">
        <w:t>3</w:t>
      </w:r>
      <w:r w:rsidRPr="00871022">
        <w:t>4</w:t>
      </w:r>
      <w:r w:rsidRPr="00C341ED">
        <w:t xml:space="preserve"> (</w:t>
      </w:r>
      <w:r w:rsidRPr="003B6C36">
        <w:t>Εκτιμώμενη ετήσια μείωση των εκπομπών των αερίων θερμοκηπίου</w:t>
      </w:r>
      <w:r>
        <w:t>), ισούται με</w:t>
      </w:r>
      <w:r w:rsidRPr="00F71F27">
        <w:t>:</w:t>
      </w:r>
    </w:p>
    <w:p w:rsidR="00E457FC" w:rsidRPr="00493C80" w:rsidRDefault="00E457FC" w:rsidP="00E457FC">
      <w:pPr>
        <w:jc w:val="center"/>
        <w:rPr>
          <w:rFonts w:cs="Calibri"/>
          <w:b/>
        </w:rPr>
      </w:pPr>
      <w:r w:rsidRPr="00493C80">
        <w:rPr>
          <w:b/>
        </w:rPr>
        <w:t xml:space="preserve">4.166 </w:t>
      </w:r>
      <w:proofErr w:type="spellStart"/>
      <w:r w:rsidRPr="00493C80">
        <w:rPr>
          <w:b/>
          <w:lang w:val="en-US"/>
        </w:rPr>
        <w:t>tn</w:t>
      </w:r>
      <w:proofErr w:type="spellEnd"/>
      <w:r w:rsidRPr="00493C80">
        <w:rPr>
          <w:b/>
        </w:rPr>
        <w:t xml:space="preserve"> </w:t>
      </w:r>
      <w:r w:rsidRPr="00493C80">
        <w:rPr>
          <w:b/>
          <w:lang w:val="en-US"/>
        </w:rPr>
        <w:t>CO</w:t>
      </w:r>
      <w:r w:rsidRPr="00493C80">
        <w:rPr>
          <w:b/>
          <w:vertAlign w:val="subscript"/>
        </w:rPr>
        <w:t>2</w:t>
      </w:r>
      <w:r w:rsidRPr="00493C80">
        <w:rPr>
          <w:b/>
        </w:rPr>
        <w:t>/</w:t>
      </w:r>
      <w:proofErr w:type="spellStart"/>
      <w:r w:rsidRPr="00493C80">
        <w:rPr>
          <w:b/>
          <w:lang w:val="en-US"/>
        </w:rPr>
        <w:t>MWe</w:t>
      </w:r>
      <w:proofErr w:type="spellEnd"/>
      <w:r w:rsidRPr="00493C80">
        <w:rPr>
          <w:b/>
        </w:rPr>
        <w:t xml:space="preserve"> </w:t>
      </w:r>
      <w:r w:rsidRPr="00493C80">
        <w:rPr>
          <w:b/>
          <w:lang w:val="en-US"/>
        </w:rPr>
        <w:t>x</w:t>
      </w:r>
      <w:r w:rsidRPr="00493C80">
        <w:rPr>
          <w:b/>
        </w:rPr>
        <w:t xml:space="preserve"> 8 </w:t>
      </w:r>
      <w:proofErr w:type="spellStart"/>
      <w:r w:rsidRPr="00493C80">
        <w:rPr>
          <w:b/>
          <w:lang w:val="en-US"/>
        </w:rPr>
        <w:t>MWe</w:t>
      </w:r>
      <w:proofErr w:type="spellEnd"/>
      <w:r w:rsidRPr="00493C80">
        <w:rPr>
          <w:b/>
        </w:rPr>
        <w:t xml:space="preserve"> (σύμφωνα με τη Μεθοδολογία Υπολογισμού Δείκτη Εκροής CO32) =           33.328 </w:t>
      </w:r>
      <w:proofErr w:type="spellStart"/>
      <w:r w:rsidRPr="00493C80">
        <w:rPr>
          <w:b/>
          <w:lang w:val="en-US"/>
        </w:rPr>
        <w:t>tn</w:t>
      </w:r>
      <w:proofErr w:type="spellEnd"/>
      <w:r w:rsidRPr="00493C80">
        <w:rPr>
          <w:b/>
        </w:rPr>
        <w:t xml:space="preserve"> </w:t>
      </w:r>
      <w:r w:rsidRPr="00493C80">
        <w:rPr>
          <w:b/>
          <w:lang w:val="en-US"/>
        </w:rPr>
        <w:t>CO</w:t>
      </w:r>
      <w:r w:rsidRPr="00493C80">
        <w:rPr>
          <w:b/>
          <w:vertAlign w:val="subscript"/>
        </w:rPr>
        <w:t>2</w:t>
      </w:r>
      <w:r w:rsidRPr="00493C80">
        <w:rPr>
          <w:rFonts w:cs="Calibri"/>
          <w:b/>
        </w:rPr>
        <w:t>/έτος</w:t>
      </w:r>
    </w:p>
    <w:p w:rsidR="00493C80" w:rsidRDefault="00493C80" w:rsidP="00E457FC"/>
    <w:p w:rsidR="00493C80" w:rsidRDefault="00493C80" w:rsidP="00493C80">
      <w:r>
        <w:t>Επομένως:</w:t>
      </w:r>
      <w:r w:rsidRPr="00D23E8C">
        <w:t xml:space="preserve"> </w:t>
      </w:r>
    </w:p>
    <w:p w:rsidR="00493C80" w:rsidRDefault="00493C80" w:rsidP="00493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για </w:t>
      </w:r>
      <w:r w:rsidRPr="00D23E8C">
        <w:t xml:space="preserve">διατιθέμενο Π/Υ = 10.000.000 € </w:t>
      </w:r>
    </w:p>
    <w:p w:rsidR="00493C80" w:rsidRDefault="00493C80" w:rsidP="00493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η </w:t>
      </w:r>
      <w:r>
        <w:rPr>
          <w:rFonts w:cs="Calibri"/>
        </w:rPr>
        <w:t xml:space="preserve">τιμή του δείκτη </w:t>
      </w:r>
      <w:r>
        <w:rPr>
          <w:lang w:val="en-US"/>
        </w:rPr>
        <w:t>CO</w:t>
      </w:r>
      <w:r w:rsidRPr="0058489C">
        <w:t>3</w:t>
      </w:r>
      <w:r w:rsidRPr="00687650">
        <w:t>4</w:t>
      </w:r>
      <w:r w:rsidRPr="00D23E8C">
        <w:t xml:space="preserve"> </w:t>
      </w:r>
      <w:r>
        <w:t xml:space="preserve">είναι </w:t>
      </w:r>
      <w:r w:rsidRPr="005252E7">
        <w:t>33</w:t>
      </w:r>
      <w:r w:rsidRPr="00363CC0">
        <w:t>.</w:t>
      </w:r>
      <w:r w:rsidRPr="005252E7">
        <w:t>328</w:t>
      </w:r>
      <w:r w:rsidRPr="00363CC0">
        <w:t xml:space="preserve"> </w:t>
      </w:r>
      <w:proofErr w:type="spellStart"/>
      <w:r>
        <w:rPr>
          <w:lang w:val="en-US"/>
        </w:rPr>
        <w:t>tn</w:t>
      </w:r>
      <w:proofErr w:type="spellEnd"/>
      <w:r w:rsidRPr="00871022">
        <w:t xml:space="preserve"> </w:t>
      </w:r>
      <w:r>
        <w:rPr>
          <w:lang w:val="en-US"/>
        </w:rPr>
        <w:t>CO</w:t>
      </w:r>
      <w:r w:rsidRPr="00871022">
        <w:rPr>
          <w:vertAlign w:val="subscript"/>
        </w:rPr>
        <w:t>2</w:t>
      </w:r>
      <w:r w:rsidRPr="00871022">
        <w:rPr>
          <w:rFonts w:cs="Calibri"/>
        </w:rPr>
        <w:t>/</w:t>
      </w:r>
      <w:r>
        <w:rPr>
          <w:rFonts w:cs="Calibri"/>
        </w:rPr>
        <w:t>έτος</w:t>
      </w:r>
    </w:p>
    <w:p w:rsidR="00493C80" w:rsidRDefault="00493C80" w:rsidP="00E457FC"/>
    <w:p w:rsidR="00E457FC" w:rsidRDefault="00E457FC" w:rsidP="00E457FC"/>
    <w:p w:rsidR="00E457FC" w:rsidRDefault="00E457FC" w:rsidP="00E457FC"/>
    <w:p w:rsidR="006345D7" w:rsidRPr="00E457FC" w:rsidRDefault="006345D7" w:rsidP="00E457FC"/>
    <w:sectPr w:rsidR="006345D7" w:rsidRPr="00E457FC" w:rsidSect="00061E17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1B2" w:rsidRDefault="000711B2" w:rsidP="0036161A">
      <w:pPr>
        <w:spacing w:after="0" w:line="240" w:lineRule="auto"/>
      </w:pPr>
      <w:r>
        <w:separator/>
      </w:r>
    </w:p>
  </w:endnote>
  <w:endnote w:type="continuationSeparator" w:id="0">
    <w:p w:rsidR="000711B2" w:rsidRDefault="000711B2" w:rsidP="0036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1B2" w:rsidRDefault="000711B2" w:rsidP="0036161A">
      <w:pPr>
        <w:spacing w:after="0" w:line="240" w:lineRule="auto"/>
      </w:pPr>
      <w:r>
        <w:separator/>
      </w:r>
    </w:p>
  </w:footnote>
  <w:footnote w:type="continuationSeparator" w:id="0">
    <w:p w:rsidR="000711B2" w:rsidRDefault="000711B2" w:rsidP="0036161A">
      <w:pPr>
        <w:spacing w:after="0" w:line="240" w:lineRule="auto"/>
      </w:pPr>
      <w:r>
        <w:continuationSeparator/>
      </w:r>
    </w:p>
  </w:footnote>
  <w:footnote w:id="1">
    <w:p w:rsidR="00E457FC" w:rsidRPr="005252E7" w:rsidRDefault="00E457FC" w:rsidP="00E457FC">
      <w:pPr>
        <w:pStyle w:val="a7"/>
        <w:rPr>
          <w:lang w:val="en-US"/>
        </w:rPr>
      </w:pPr>
      <w:r>
        <w:rPr>
          <w:rStyle w:val="a8"/>
        </w:rPr>
        <w:footnoteRef/>
      </w:r>
      <w:r w:rsidRPr="00CF08E2">
        <w:rPr>
          <w:lang w:val="en-US"/>
        </w:rPr>
        <w:t xml:space="preserve"> </w:t>
      </w:r>
      <w:proofErr w:type="gramStart"/>
      <w:r>
        <w:rPr>
          <w:lang w:val="en-US"/>
        </w:rPr>
        <w:t>UNFCCC, Emission Inventory 2015.</w:t>
      </w:r>
      <w:proofErr w:type="gramEnd"/>
    </w:p>
  </w:footnote>
  <w:footnote w:id="2">
    <w:p w:rsidR="00E457FC" w:rsidRPr="00995515" w:rsidRDefault="00E457FC" w:rsidP="00E457FC">
      <w:pPr>
        <w:pStyle w:val="a7"/>
      </w:pPr>
      <w:r>
        <w:rPr>
          <w:rStyle w:val="a8"/>
        </w:rPr>
        <w:footnoteRef/>
      </w:r>
      <w:r w:rsidRPr="00CF08E2">
        <w:rPr>
          <w:lang w:val="en-US"/>
        </w:rPr>
        <w:t xml:space="preserve"> </w:t>
      </w:r>
      <w:r>
        <w:t>Υ</w:t>
      </w:r>
      <w:r w:rsidRPr="00CF08E2">
        <w:rPr>
          <w:lang w:val="en-US"/>
        </w:rPr>
        <w:t>.</w:t>
      </w:r>
      <w:r>
        <w:t>Α</w:t>
      </w:r>
      <w:r w:rsidRPr="00CF08E2">
        <w:rPr>
          <w:lang w:val="en-US"/>
        </w:rPr>
        <w:t xml:space="preserve">. </w:t>
      </w:r>
      <w:r>
        <w:t>υπ</w:t>
      </w:r>
      <w:r w:rsidRPr="00CF08E2">
        <w:rPr>
          <w:lang w:val="en-US"/>
        </w:rPr>
        <w:t xml:space="preserve">’ </w:t>
      </w:r>
      <w:proofErr w:type="spellStart"/>
      <w:r>
        <w:t>α</w:t>
      </w:r>
      <w:r w:rsidRPr="00995515">
        <w:rPr>
          <w:rFonts w:ascii="MyriadPro-Regular" w:hAnsi="MyriadPro-Regular" w:cs="MyriadPro-Regular"/>
        </w:rPr>
        <w:t>ριθμ</w:t>
      </w:r>
      <w:proofErr w:type="spellEnd"/>
      <w:r w:rsidRPr="00CF08E2">
        <w:rPr>
          <w:rFonts w:ascii="MyriadPro-Regular" w:hAnsi="MyriadPro-Regular" w:cs="MyriadPro-Regular"/>
          <w:lang w:val="en-US"/>
        </w:rPr>
        <w:t xml:space="preserve">. </w:t>
      </w:r>
      <w:r w:rsidRPr="00995515">
        <w:rPr>
          <w:rFonts w:ascii="MyriadPro-Regular" w:hAnsi="MyriadPro-Regular" w:cs="MyriadPro-Regular"/>
        </w:rPr>
        <w:t>ΔΕΠΕΑ/οικ.178581</w:t>
      </w:r>
      <w:r>
        <w:rPr>
          <w:rFonts w:ascii="MyriadPro-Regular" w:hAnsi="MyriadPro-Regular" w:cs="MyriadPro-Regular"/>
        </w:rPr>
        <w:t xml:space="preserve">, </w:t>
      </w:r>
      <w:r w:rsidRPr="00995515">
        <w:rPr>
          <w:rFonts w:ascii="MyriadPro-Regular" w:hAnsi="MyriadPro-Regular" w:cs="MyriadPro-Regular"/>
        </w:rPr>
        <w:t>Έγκριση Κανονισμού Ενεργειακής Απόδοσης Κτιρίων</w:t>
      </w:r>
      <w:r>
        <w:rPr>
          <w:rFonts w:ascii="MyriadPro-Regular" w:hAnsi="MyriadPro-Regular" w:cs="MyriadPro-Regular"/>
        </w:rPr>
        <w:t xml:space="preserve"> (ΦΕΚ, Β’, 2367, 12-07-2017).</w:t>
      </w:r>
    </w:p>
  </w:footnote>
  <w:footnote w:id="3">
    <w:p w:rsidR="00E457FC" w:rsidRPr="00995515" w:rsidRDefault="00E457FC" w:rsidP="00E457FC">
      <w:pPr>
        <w:pStyle w:val="a7"/>
      </w:pPr>
      <w:r>
        <w:rPr>
          <w:rStyle w:val="a8"/>
        </w:rPr>
        <w:footnoteRef/>
      </w:r>
      <w:r>
        <w:t xml:space="preserve"> Υ.Α. υπ’ </w:t>
      </w:r>
      <w:proofErr w:type="spellStart"/>
      <w:r>
        <w:t>α</w:t>
      </w:r>
      <w:r w:rsidRPr="00995515">
        <w:rPr>
          <w:rFonts w:ascii="MyriadPro-Regular" w:hAnsi="MyriadPro-Regular" w:cs="MyriadPro-Regular"/>
        </w:rPr>
        <w:t>ριθμ</w:t>
      </w:r>
      <w:proofErr w:type="spellEnd"/>
      <w:r w:rsidRPr="00995515">
        <w:rPr>
          <w:rFonts w:ascii="MyriadPro-Regular" w:hAnsi="MyriadPro-Regular" w:cs="MyriadPro-Regular"/>
        </w:rPr>
        <w:t>. ΔΕΠΕΑ/οικ.178581</w:t>
      </w:r>
      <w:r>
        <w:rPr>
          <w:rFonts w:ascii="MyriadPro-Regular" w:hAnsi="MyriadPro-Regular" w:cs="MyriadPro-Regular"/>
        </w:rPr>
        <w:t xml:space="preserve">, </w:t>
      </w:r>
      <w:r w:rsidRPr="00995515">
        <w:rPr>
          <w:rFonts w:ascii="MyriadPro-Regular" w:hAnsi="MyriadPro-Regular" w:cs="MyriadPro-Regular"/>
        </w:rPr>
        <w:t>Έγκριση Κανονισμού Ενεργειακής Απόδοσης Κτιρίων</w:t>
      </w:r>
      <w:r>
        <w:rPr>
          <w:rFonts w:ascii="MyriadPro-Regular" w:hAnsi="MyriadPro-Regular" w:cs="MyriadPro-Regular"/>
        </w:rPr>
        <w:t xml:space="preserve"> (ΦΕΚ, Β’, 2367, 12-07-2017).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3EC2"/>
    <w:multiLevelType w:val="hybridMultilevel"/>
    <w:tmpl w:val="C2D867EA"/>
    <w:lvl w:ilvl="0" w:tplc="0C8A46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82545"/>
    <w:multiLevelType w:val="hybridMultilevel"/>
    <w:tmpl w:val="8040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34DA0"/>
    <w:multiLevelType w:val="hybridMultilevel"/>
    <w:tmpl w:val="1D5249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E4823"/>
    <w:multiLevelType w:val="hybridMultilevel"/>
    <w:tmpl w:val="3CDAFFE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A1014"/>
    <w:multiLevelType w:val="hybridMultilevel"/>
    <w:tmpl w:val="1354B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B391D"/>
    <w:multiLevelType w:val="hybridMultilevel"/>
    <w:tmpl w:val="5D3AE484"/>
    <w:lvl w:ilvl="0" w:tplc="1BF04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0Nbc0Mzc0NDI1srRU0lEKTi0uzszPAykwrAUAC+bjRiwAAAA="/>
  </w:docVars>
  <w:rsids>
    <w:rsidRoot w:val="00061E17"/>
    <w:rsid w:val="000311CB"/>
    <w:rsid w:val="00040408"/>
    <w:rsid w:val="00061E17"/>
    <w:rsid w:val="00063F52"/>
    <w:rsid w:val="000711B2"/>
    <w:rsid w:val="000809EA"/>
    <w:rsid w:val="000C1EDD"/>
    <w:rsid w:val="000D08FA"/>
    <w:rsid w:val="00106FD3"/>
    <w:rsid w:val="00135A92"/>
    <w:rsid w:val="00137A93"/>
    <w:rsid w:val="00143D5F"/>
    <w:rsid w:val="00192698"/>
    <w:rsid w:val="001C7E56"/>
    <w:rsid w:val="001F61E1"/>
    <w:rsid w:val="00212AB9"/>
    <w:rsid w:val="0021441A"/>
    <w:rsid w:val="00216239"/>
    <w:rsid w:val="002173F4"/>
    <w:rsid w:val="002326AF"/>
    <w:rsid w:val="00270907"/>
    <w:rsid w:val="00270BC0"/>
    <w:rsid w:val="00286C7A"/>
    <w:rsid w:val="002C35D4"/>
    <w:rsid w:val="002C6EDF"/>
    <w:rsid w:val="002D043C"/>
    <w:rsid w:val="002E5E01"/>
    <w:rsid w:val="00335518"/>
    <w:rsid w:val="0035466E"/>
    <w:rsid w:val="0036161A"/>
    <w:rsid w:val="0036184C"/>
    <w:rsid w:val="00363CC0"/>
    <w:rsid w:val="003700D8"/>
    <w:rsid w:val="0037489C"/>
    <w:rsid w:val="003A2714"/>
    <w:rsid w:val="003B1A29"/>
    <w:rsid w:val="003B6C36"/>
    <w:rsid w:val="00467550"/>
    <w:rsid w:val="00493C80"/>
    <w:rsid w:val="004D0838"/>
    <w:rsid w:val="00520B8D"/>
    <w:rsid w:val="005252E7"/>
    <w:rsid w:val="005531B6"/>
    <w:rsid w:val="00560A9D"/>
    <w:rsid w:val="005662BA"/>
    <w:rsid w:val="0058489C"/>
    <w:rsid w:val="005E1BA0"/>
    <w:rsid w:val="006345D7"/>
    <w:rsid w:val="0064011F"/>
    <w:rsid w:val="00687650"/>
    <w:rsid w:val="00690168"/>
    <w:rsid w:val="006B4F86"/>
    <w:rsid w:val="00734422"/>
    <w:rsid w:val="00781641"/>
    <w:rsid w:val="007A0974"/>
    <w:rsid w:val="007B1077"/>
    <w:rsid w:val="007C3CDA"/>
    <w:rsid w:val="00817AB2"/>
    <w:rsid w:val="0082570C"/>
    <w:rsid w:val="00831514"/>
    <w:rsid w:val="00835577"/>
    <w:rsid w:val="00871022"/>
    <w:rsid w:val="008822E9"/>
    <w:rsid w:val="00883737"/>
    <w:rsid w:val="00885997"/>
    <w:rsid w:val="00886337"/>
    <w:rsid w:val="008C67CE"/>
    <w:rsid w:val="00910769"/>
    <w:rsid w:val="00967981"/>
    <w:rsid w:val="009A49D9"/>
    <w:rsid w:val="00A02B89"/>
    <w:rsid w:val="00A257D4"/>
    <w:rsid w:val="00A4683D"/>
    <w:rsid w:val="00A77A77"/>
    <w:rsid w:val="00A87251"/>
    <w:rsid w:val="00A91734"/>
    <w:rsid w:val="00AB7D11"/>
    <w:rsid w:val="00AD2978"/>
    <w:rsid w:val="00BE3CCE"/>
    <w:rsid w:val="00C01700"/>
    <w:rsid w:val="00C300B5"/>
    <w:rsid w:val="00C341ED"/>
    <w:rsid w:val="00C541AA"/>
    <w:rsid w:val="00C906BC"/>
    <w:rsid w:val="00C96B8A"/>
    <w:rsid w:val="00CA2F34"/>
    <w:rsid w:val="00CB0322"/>
    <w:rsid w:val="00CB593E"/>
    <w:rsid w:val="00CD73D8"/>
    <w:rsid w:val="00CD7763"/>
    <w:rsid w:val="00CF08E2"/>
    <w:rsid w:val="00CF2D37"/>
    <w:rsid w:val="00D04E80"/>
    <w:rsid w:val="00D20AC7"/>
    <w:rsid w:val="00D24AEC"/>
    <w:rsid w:val="00D66DBD"/>
    <w:rsid w:val="00D767E3"/>
    <w:rsid w:val="00D87EBE"/>
    <w:rsid w:val="00DA201E"/>
    <w:rsid w:val="00DE2B3E"/>
    <w:rsid w:val="00DE3A74"/>
    <w:rsid w:val="00DF178F"/>
    <w:rsid w:val="00E457FC"/>
    <w:rsid w:val="00E8480F"/>
    <w:rsid w:val="00EB5692"/>
    <w:rsid w:val="00EB6E74"/>
    <w:rsid w:val="00EC2125"/>
    <w:rsid w:val="00EF3871"/>
    <w:rsid w:val="00F168E3"/>
    <w:rsid w:val="00F45C1D"/>
    <w:rsid w:val="00F674D2"/>
    <w:rsid w:val="00F71F27"/>
    <w:rsid w:val="00F85971"/>
    <w:rsid w:val="00FC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5F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36161A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36161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616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5F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36161A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36161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616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C00D7-040E-4AFB-84AA-F65C7971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Minas</dc:creator>
  <cp:lastModifiedBy>Κονδύλη, Ιουλία</cp:lastModifiedBy>
  <cp:revision>6</cp:revision>
  <dcterms:created xsi:type="dcterms:W3CDTF">2018-06-01T10:30:00Z</dcterms:created>
  <dcterms:modified xsi:type="dcterms:W3CDTF">2018-06-28T13:08:00Z</dcterms:modified>
</cp:coreProperties>
</file>